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A61E5F" w:rsidRPr="00232546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232546">
        <w:rPr>
          <w:rFonts w:ascii="Arial" w:hAnsi="Arial" w:cs="Arial"/>
          <w:b/>
          <w:iCs/>
        </w:rPr>
        <w:t>FINANČNÍ ÚŘAD PRO JIHOMORAVSKÝ KRAJ</w:t>
      </w:r>
    </w:p>
    <w:p w:rsidR="00F35B73" w:rsidRPr="00232546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232546">
        <w:rPr>
          <w:rFonts w:ascii="Arial" w:hAnsi="Arial" w:cs="Arial"/>
          <w:iCs/>
        </w:rPr>
        <w:t>nám. Svobody 4, 602 00 Brno</w:t>
      </w:r>
    </w:p>
    <w:p w:rsidR="00A61E5F" w:rsidRPr="00232546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232546">
        <w:rPr>
          <w:rFonts w:ascii="Arial" w:hAnsi="Arial" w:cs="Arial"/>
          <w:iCs/>
        </w:rPr>
        <w:t xml:space="preserve">Tel.: </w:t>
      </w:r>
      <w:r w:rsidR="00F35B73" w:rsidRPr="00232546">
        <w:rPr>
          <w:rFonts w:ascii="Arial" w:hAnsi="Arial" w:cs="Arial"/>
          <w:iCs/>
        </w:rPr>
        <w:t>542 191 111</w:t>
      </w:r>
    </w:p>
    <w:p w:rsidR="00222B9F" w:rsidRPr="00232546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356ACC" w:rsidRPr="00232546" w:rsidRDefault="00356ACC" w:rsidP="00356ACC">
      <w:pPr>
        <w:pStyle w:val="Normlnweb"/>
        <w:spacing w:before="0" w:beforeAutospacing="0" w:after="0" w:afterAutospacing="0"/>
        <w:jc w:val="both"/>
        <w:rPr>
          <w:rFonts w:ascii="Calibri" w:hAnsi="Calibri"/>
          <w:b/>
          <w:bCs/>
          <w:color w:val="0070C0"/>
          <w:sz w:val="36"/>
          <w:szCs w:val="36"/>
        </w:rPr>
      </w:pPr>
      <w:r w:rsidRPr="00232546">
        <w:rPr>
          <w:rFonts w:ascii="Calibri" w:hAnsi="Calibri"/>
          <w:b/>
          <w:bCs/>
          <w:color w:val="0070C0"/>
          <w:sz w:val="36"/>
          <w:szCs w:val="36"/>
        </w:rPr>
        <w:t xml:space="preserve">430.000 složenek </w:t>
      </w:r>
      <w:r w:rsidR="00CD4784" w:rsidRPr="00232546">
        <w:rPr>
          <w:rFonts w:ascii="Calibri" w:hAnsi="Calibri"/>
          <w:b/>
          <w:bCs/>
          <w:color w:val="0070C0"/>
          <w:sz w:val="36"/>
          <w:szCs w:val="36"/>
        </w:rPr>
        <w:t>putuje</w:t>
      </w:r>
      <w:r w:rsidRPr="00232546">
        <w:rPr>
          <w:rFonts w:ascii="Calibri" w:hAnsi="Calibri"/>
          <w:b/>
          <w:bCs/>
          <w:color w:val="0070C0"/>
          <w:sz w:val="36"/>
          <w:szCs w:val="36"/>
        </w:rPr>
        <w:t xml:space="preserve"> do schránek poplatníků</w:t>
      </w:r>
    </w:p>
    <w:p w:rsidR="00356ACC" w:rsidRPr="00232546" w:rsidRDefault="00356ACC" w:rsidP="00356ACC">
      <w:pPr>
        <w:pStyle w:val="Normlnweb"/>
        <w:spacing w:before="0" w:beforeAutospacing="0" w:after="0" w:afterAutospacing="0"/>
        <w:jc w:val="both"/>
        <w:rPr>
          <w:rFonts w:ascii="Calibri" w:hAnsi="Calibri"/>
          <w:bCs/>
          <w:color w:val="0070C0"/>
          <w:sz w:val="36"/>
          <w:szCs w:val="36"/>
        </w:rPr>
      </w:pPr>
      <w:r w:rsidRPr="00232546">
        <w:rPr>
          <w:rFonts w:ascii="Calibri" w:hAnsi="Calibri"/>
          <w:bCs/>
          <w:color w:val="0070C0"/>
          <w:sz w:val="36"/>
          <w:szCs w:val="36"/>
        </w:rPr>
        <w:t>(tisková zpráva)</w:t>
      </w:r>
    </w:p>
    <w:p w:rsidR="00356ACC" w:rsidRPr="00232546" w:rsidRDefault="00356ACC" w:rsidP="00356ACC">
      <w:pPr>
        <w:rPr>
          <w:rFonts w:ascii="Calibri" w:hAnsi="Calibri"/>
          <w:sz w:val="19"/>
          <w:szCs w:val="19"/>
        </w:rPr>
      </w:pPr>
    </w:p>
    <w:p w:rsidR="00356ACC" w:rsidRPr="00232546" w:rsidRDefault="001D615A" w:rsidP="00356ACC">
      <w:pPr>
        <w:jc w:val="both"/>
        <w:rPr>
          <w:rFonts w:ascii="Calibri" w:hAnsi="Calibri"/>
          <w:b/>
          <w:bCs/>
          <w:sz w:val="24"/>
          <w:szCs w:val="24"/>
        </w:rPr>
      </w:pPr>
      <w:r w:rsidRPr="00232546">
        <w:rPr>
          <w:rFonts w:ascii="Calibri" w:hAnsi="Calibri"/>
          <w:b/>
          <w:bCs/>
        </w:rPr>
        <w:t>3</w:t>
      </w:r>
      <w:r w:rsidR="00356ACC" w:rsidRPr="00232546">
        <w:rPr>
          <w:rFonts w:ascii="Calibri" w:hAnsi="Calibri"/>
          <w:b/>
          <w:bCs/>
        </w:rPr>
        <w:t xml:space="preserve">1. </w:t>
      </w:r>
      <w:r w:rsidRPr="00232546">
        <w:rPr>
          <w:rFonts w:ascii="Calibri" w:hAnsi="Calibri"/>
          <w:b/>
          <w:bCs/>
        </w:rPr>
        <w:t>květen</w:t>
      </w:r>
      <w:r w:rsidR="00356ACC" w:rsidRPr="00232546">
        <w:rPr>
          <w:rFonts w:ascii="Calibri" w:hAnsi="Calibri"/>
          <w:b/>
          <w:bCs/>
        </w:rPr>
        <w:t xml:space="preserve"> je posledním dnem lhůty pro zaplacení daně z nemovitých věcí na rok 201</w:t>
      </w:r>
      <w:r w:rsidR="009F592C" w:rsidRPr="00232546">
        <w:rPr>
          <w:rFonts w:ascii="Calibri" w:hAnsi="Calibri"/>
          <w:b/>
          <w:bCs/>
        </w:rPr>
        <w:t>7</w:t>
      </w:r>
      <w:r w:rsidR="00356ACC" w:rsidRPr="00232546">
        <w:rPr>
          <w:rFonts w:ascii="Calibri" w:hAnsi="Calibri"/>
          <w:b/>
          <w:bCs/>
        </w:rPr>
        <w:t xml:space="preserve">, nebo její první splátky. Od </w:t>
      </w:r>
      <w:r w:rsidR="00975DE3" w:rsidRPr="00232546">
        <w:rPr>
          <w:rFonts w:ascii="Calibri" w:hAnsi="Calibri"/>
          <w:b/>
          <w:bCs/>
        </w:rPr>
        <w:t>19</w:t>
      </w:r>
      <w:r w:rsidR="00356ACC" w:rsidRPr="00232546">
        <w:rPr>
          <w:rFonts w:ascii="Calibri" w:hAnsi="Calibri"/>
          <w:b/>
          <w:bCs/>
        </w:rPr>
        <w:t xml:space="preserve">. dubna jsou postupně rozesílány složenky na úhradu této daně, kde </w:t>
      </w:r>
      <w:r w:rsidRPr="00232546">
        <w:rPr>
          <w:rFonts w:ascii="Calibri" w:hAnsi="Calibri"/>
          <w:b/>
          <w:bCs/>
        </w:rPr>
        <w:t>je</w:t>
      </w:r>
      <w:r w:rsidR="00356ACC" w:rsidRPr="00232546">
        <w:rPr>
          <w:rFonts w:ascii="Calibri" w:hAnsi="Calibri"/>
          <w:b/>
          <w:bCs/>
        </w:rPr>
        <w:t xml:space="preserve"> na alonži uvedena </w:t>
      </w:r>
      <w:r w:rsidRPr="00232546">
        <w:rPr>
          <w:rFonts w:ascii="Calibri" w:hAnsi="Calibri"/>
          <w:b/>
          <w:bCs/>
        </w:rPr>
        <w:t xml:space="preserve">mimo jiné </w:t>
      </w:r>
      <w:r w:rsidR="00356ACC" w:rsidRPr="00232546">
        <w:rPr>
          <w:rFonts w:ascii="Calibri" w:hAnsi="Calibri"/>
          <w:b/>
          <w:bCs/>
        </w:rPr>
        <w:t>celková vý</w:t>
      </w:r>
      <w:r w:rsidR="009F592C" w:rsidRPr="00232546">
        <w:rPr>
          <w:rFonts w:ascii="Calibri" w:hAnsi="Calibri"/>
          <w:b/>
          <w:bCs/>
        </w:rPr>
        <w:t>še daňové povinnosti na rok 2017</w:t>
      </w:r>
      <w:r w:rsidR="00356ACC" w:rsidRPr="00232546">
        <w:rPr>
          <w:rFonts w:ascii="Calibri" w:hAnsi="Calibri"/>
          <w:b/>
          <w:bCs/>
        </w:rPr>
        <w:t xml:space="preserve"> a územní pracoviště, kde je uložen daňový spis k dani z nemovitých věcí.</w:t>
      </w:r>
    </w:p>
    <w:p w:rsidR="00356ACC" w:rsidRPr="00232546" w:rsidRDefault="00356ACC" w:rsidP="00356ACC">
      <w:pPr>
        <w:jc w:val="both"/>
        <w:rPr>
          <w:rFonts w:ascii="Calibri" w:hAnsi="Calibri"/>
          <w:b/>
          <w:bCs/>
        </w:rPr>
      </w:pPr>
      <w:r w:rsidRPr="00232546">
        <w:rPr>
          <w:rFonts w:ascii="Calibri" w:hAnsi="Calibri"/>
          <w:b/>
          <w:bCs/>
        </w:rPr>
        <w:t xml:space="preserve">Nejpohodlnějším způsobem placení daně je bezhotovostní převod částky na bankovní účet finančního úřadu nebo platba </w:t>
      </w:r>
      <w:r w:rsidR="001D615A" w:rsidRPr="00232546">
        <w:rPr>
          <w:rFonts w:ascii="Calibri" w:hAnsi="Calibri"/>
          <w:b/>
          <w:bCs/>
        </w:rPr>
        <w:t>zdarma přiloženou daňovou</w:t>
      </w:r>
      <w:r w:rsidRPr="00232546">
        <w:rPr>
          <w:rFonts w:ascii="Calibri" w:hAnsi="Calibri"/>
          <w:b/>
          <w:bCs/>
        </w:rPr>
        <w:t xml:space="preserve"> složenkou na kterékoliv poště. </w:t>
      </w:r>
    </w:p>
    <w:p w:rsidR="00356ACC" w:rsidRPr="00232546" w:rsidRDefault="00356ACC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 xml:space="preserve">Stejně jako v předchozích letech i v letošním roce finanční správa poplatníkům daně z nemovitých věcí rozesílá složenky na úhradu této daně. Jednotlivé platby za více </w:t>
      </w:r>
      <w:r w:rsidR="0007392F" w:rsidRPr="00232546">
        <w:rPr>
          <w:rFonts w:ascii="Calibri" w:hAnsi="Calibri"/>
        </w:rPr>
        <w:t xml:space="preserve">nemovitých věcí </w:t>
      </w:r>
      <w:r w:rsidRPr="00232546">
        <w:rPr>
          <w:rFonts w:ascii="Calibri" w:hAnsi="Calibri"/>
        </w:rPr>
        <w:t xml:space="preserve">v jednom kraji jsou sloučeny do jedné, poplatník tedy obdrží </w:t>
      </w:r>
      <w:r w:rsidRPr="00232546">
        <w:rPr>
          <w:rFonts w:ascii="Calibri" w:hAnsi="Calibri"/>
          <w:b/>
          <w:bCs/>
        </w:rPr>
        <w:t>jednu složenku za celý kraj</w:t>
      </w:r>
      <w:r w:rsidRPr="00232546">
        <w:rPr>
          <w:rFonts w:ascii="Calibri" w:hAnsi="Calibri"/>
        </w:rPr>
        <w:t xml:space="preserve">. Má-li poplatník </w:t>
      </w:r>
      <w:r w:rsidR="0007392F" w:rsidRPr="00232546">
        <w:rPr>
          <w:rFonts w:ascii="Calibri" w:hAnsi="Calibri"/>
        </w:rPr>
        <w:t xml:space="preserve">nemovité věci </w:t>
      </w:r>
      <w:r w:rsidRPr="00232546">
        <w:rPr>
          <w:rFonts w:ascii="Calibri" w:hAnsi="Calibri"/>
        </w:rPr>
        <w:t xml:space="preserve">na území více krajů, přijde mu více složenek rovněž jen v jedné obálce. </w:t>
      </w:r>
    </w:p>
    <w:p w:rsidR="00356ACC" w:rsidRPr="00232546" w:rsidRDefault="00356ACC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 xml:space="preserve">Aby se předešlo tvorbě front při placení v hotovosti </w:t>
      </w:r>
      <w:r w:rsidR="001D615A" w:rsidRPr="00232546">
        <w:rPr>
          <w:rFonts w:ascii="Calibri" w:hAnsi="Calibri"/>
        </w:rPr>
        <w:t xml:space="preserve">na </w:t>
      </w:r>
      <w:r w:rsidRPr="00232546">
        <w:rPr>
          <w:rFonts w:ascii="Calibri" w:hAnsi="Calibri"/>
        </w:rPr>
        <w:t>pobočkách pošt</w:t>
      </w:r>
      <w:r w:rsidR="001D615A" w:rsidRPr="00232546">
        <w:rPr>
          <w:rFonts w:ascii="Calibri" w:hAnsi="Calibri"/>
        </w:rPr>
        <w:t xml:space="preserve"> či na pokladnách územních pracovišť</w:t>
      </w:r>
      <w:r w:rsidRPr="00232546">
        <w:rPr>
          <w:rFonts w:ascii="Calibri" w:hAnsi="Calibri"/>
        </w:rPr>
        <w:t xml:space="preserve">, jsou složenky poplatníkům do jednotlivých lokalit v rámci celé republiky </w:t>
      </w:r>
      <w:r w:rsidRPr="00232546">
        <w:rPr>
          <w:rFonts w:ascii="Calibri" w:hAnsi="Calibri"/>
          <w:b/>
          <w:bCs/>
        </w:rPr>
        <w:t>distribuovány postupně</w:t>
      </w:r>
      <w:r w:rsidRPr="00232546">
        <w:rPr>
          <w:rFonts w:ascii="Calibri" w:hAnsi="Calibri"/>
        </w:rPr>
        <w:t xml:space="preserve"> (tzn. že ani v rámci jedné ulice nemusejí poplatníci dostat složenky ve stejný den). V rámci klientského přístupu jsou složenky </w:t>
      </w:r>
      <w:r w:rsidRPr="00232546">
        <w:rPr>
          <w:rFonts w:ascii="Calibri" w:hAnsi="Calibri"/>
          <w:b/>
          <w:bCs/>
        </w:rPr>
        <w:t>zasílány nejprve seniorům</w:t>
      </w:r>
      <w:r w:rsidRPr="00232546">
        <w:rPr>
          <w:rFonts w:ascii="Calibri" w:hAnsi="Calibri"/>
        </w:rPr>
        <w:t xml:space="preserve">. </w:t>
      </w:r>
    </w:p>
    <w:p w:rsidR="0007392F" w:rsidRPr="00232546" w:rsidRDefault="0007392F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 xml:space="preserve">Poplatníci mají povinnost daň z nemovitých věcí </w:t>
      </w:r>
      <w:r w:rsidRPr="00232546">
        <w:rPr>
          <w:rFonts w:ascii="Calibri" w:hAnsi="Calibri"/>
          <w:b/>
          <w:bCs/>
        </w:rPr>
        <w:t>uhradit do 31. května tohoto roku</w:t>
      </w:r>
      <w:r w:rsidRPr="00232546">
        <w:rPr>
          <w:rFonts w:ascii="Calibri" w:hAnsi="Calibri"/>
        </w:rPr>
        <w:t>. Výjimku tvoří poplatníci, jejichž roční daň přesáhla 5 000 Kč – v takovém případě je daň splatná ve dvou stejných splátkách, do 31. května a do 30. listopadu tohoto roku. Poplatníci provozující zemědělskou výrobu a chov ryb mají první splátku splatnou až 31. srpna tohoto roku. Termín splatnosti daně, nebo jejich splátek je rovněž uveden na alonži složenky.</w:t>
      </w:r>
    </w:p>
    <w:p w:rsidR="00356ACC" w:rsidRPr="00232546" w:rsidRDefault="00356ACC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>Poplatníkům, u nichž na zdaňovací období roku 201</w:t>
      </w:r>
      <w:r w:rsidR="009F592C" w:rsidRPr="00232546">
        <w:rPr>
          <w:rFonts w:ascii="Calibri" w:hAnsi="Calibri"/>
        </w:rPr>
        <w:t>7</w:t>
      </w:r>
      <w:r w:rsidRPr="00232546">
        <w:rPr>
          <w:rFonts w:ascii="Calibri" w:hAnsi="Calibri"/>
        </w:rPr>
        <w:t xml:space="preserve"> došlo ke změně výše daně oproti předchozímu roku, případně oproti částce vypočtené v daňovém přiznání, sdělí správce daně její novou výši platebním výměrem zasílaným individuálně, nebo hromadným předpisným seznamem. Tyto seznamy budou přístupné </w:t>
      </w:r>
      <w:r w:rsidR="00975DE3" w:rsidRPr="00232546">
        <w:rPr>
          <w:rFonts w:ascii="Calibri" w:hAnsi="Calibri"/>
        </w:rPr>
        <w:t>od 28. dubna do 29. května tohoto roku</w:t>
      </w:r>
      <w:r w:rsidRPr="00232546">
        <w:rPr>
          <w:rFonts w:ascii="Calibri" w:hAnsi="Calibri"/>
        </w:rPr>
        <w:t xml:space="preserve"> na kterémkoli územním pracovišti finančního úřadu, a to pro celý obvod jeho územní působnosti, tj. pro celý kraj.</w:t>
      </w:r>
    </w:p>
    <w:p w:rsidR="001D615A" w:rsidRPr="00232546" w:rsidRDefault="008B63EF" w:rsidP="00356ACC">
      <w:pPr>
        <w:jc w:val="both"/>
        <w:rPr>
          <w:rFonts w:ascii="Calibri" w:hAnsi="Calibri"/>
          <w:sz w:val="8"/>
        </w:rPr>
      </w:pPr>
      <w:r w:rsidRPr="00232546" w:rsidDel="008B63EF">
        <w:rPr>
          <w:rFonts w:ascii="Calibri" w:hAnsi="Calibri"/>
        </w:rPr>
        <w:t xml:space="preserve"> </w:t>
      </w:r>
    </w:p>
    <w:p w:rsidR="007A6C74" w:rsidRPr="00232546" w:rsidRDefault="007A6C74" w:rsidP="00356ACC">
      <w:pPr>
        <w:jc w:val="both"/>
        <w:rPr>
          <w:rFonts w:ascii="Calibri" w:hAnsi="Calibri"/>
          <w:sz w:val="8"/>
        </w:rPr>
      </w:pPr>
    </w:p>
    <w:p w:rsidR="007A6C74" w:rsidRPr="00232546" w:rsidRDefault="007A6C74" w:rsidP="00356ACC">
      <w:pPr>
        <w:jc w:val="both"/>
        <w:rPr>
          <w:rFonts w:ascii="Calibri" w:hAnsi="Calibri"/>
          <w:sz w:val="8"/>
        </w:rPr>
      </w:pPr>
    </w:p>
    <w:p w:rsidR="007A6C74" w:rsidRPr="00232546" w:rsidRDefault="007A6C74" w:rsidP="00356ACC">
      <w:pPr>
        <w:jc w:val="both"/>
        <w:rPr>
          <w:rFonts w:ascii="Calibri" w:hAnsi="Calibri"/>
          <w:sz w:val="8"/>
        </w:rPr>
      </w:pPr>
    </w:p>
    <w:p w:rsidR="008B63EF" w:rsidRPr="00232546" w:rsidRDefault="008B63EF" w:rsidP="00356ACC">
      <w:pPr>
        <w:jc w:val="both"/>
        <w:rPr>
          <w:rFonts w:ascii="Calibri" w:hAnsi="Calibri"/>
          <w:sz w:val="8"/>
        </w:rPr>
      </w:pPr>
    </w:p>
    <w:p w:rsidR="008B63EF" w:rsidRPr="00232546" w:rsidRDefault="008B63EF" w:rsidP="00356ACC">
      <w:pPr>
        <w:jc w:val="both"/>
        <w:rPr>
          <w:rFonts w:ascii="Calibri" w:hAnsi="Calibri"/>
          <w:sz w:val="8"/>
        </w:rPr>
      </w:pPr>
    </w:p>
    <w:p w:rsidR="008B63EF" w:rsidRPr="00232546" w:rsidRDefault="008B63EF" w:rsidP="00356ACC">
      <w:pPr>
        <w:jc w:val="both"/>
        <w:rPr>
          <w:rFonts w:ascii="Calibri" w:hAnsi="Calibri"/>
          <w:sz w:val="8"/>
        </w:rPr>
      </w:pPr>
    </w:p>
    <w:p w:rsidR="007A6C74" w:rsidRPr="00232546" w:rsidRDefault="007A6C74" w:rsidP="00356ACC">
      <w:pPr>
        <w:jc w:val="both"/>
        <w:rPr>
          <w:rFonts w:ascii="Calibri" w:hAnsi="Calibri"/>
          <w:sz w:val="8"/>
        </w:rPr>
      </w:pPr>
    </w:p>
    <w:p w:rsidR="00356ACC" w:rsidRPr="00232546" w:rsidRDefault="00356ACC" w:rsidP="0035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2228"/>
        <w:jc w:val="center"/>
        <w:rPr>
          <w:rFonts w:ascii="Calibri" w:hAnsi="Calibri"/>
          <w:b/>
          <w:bCs/>
          <w:sz w:val="32"/>
          <w:szCs w:val="32"/>
        </w:rPr>
      </w:pPr>
      <w:r w:rsidRPr="00232546">
        <w:rPr>
          <w:rFonts w:ascii="Calibri" w:hAnsi="Calibri"/>
          <w:b/>
          <w:bCs/>
          <w:sz w:val="32"/>
          <w:szCs w:val="32"/>
        </w:rPr>
        <w:t>Číslo účtu pro daň z nemovitých věcí</w:t>
      </w:r>
    </w:p>
    <w:p w:rsidR="00356ACC" w:rsidRPr="00232546" w:rsidRDefault="00356ACC" w:rsidP="0035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2228"/>
        <w:jc w:val="center"/>
        <w:rPr>
          <w:rFonts w:ascii="Calibri" w:hAnsi="Calibri"/>
          <w:sz w:val="28"/>
          <w:szCs w:val="28"/>
        </w:rPr>
      </w:pPr>
      <w:r w:rsidRPr="00232546">
        <w:rPr>
          <w:rFonts w:ascii="Calibri" w:hAnsi="Calibri"/>
          <w:sz w:val="28"/>
          <w:szCs w:val="28"/>
        </w:rPr>
        <w:t>Finanční úřad pro Jihomoravský kraj</w:t>
      </w:r>
    </w:p>
    <w:p w:rsidR="00356ACC" w:rsidRPr="00232546" w:rsidRDefault="00356ACC" w:rsidP="0035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2228"/>
        <w:jc w:val="center"/>
        <w:rPr>
          <w:rFonts w:ascii="Calibri" w:hAnsi="Calibri"/>
          <w:sz w:val="10"/>
          <w:szCs w:val="10"/>
        </w:rPr>
      </w:pPr>
    </w:p>
    <w:p w:rsidR="00356ACC" w:rsidRPr="00232546" w:rsidRDefault="00356ACC" w:rsidP="0035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2228"/>
        <w:jc w:val="center"/>
        <w:rPr>
          <w:rFonts w:ascii="Calibri" w:hAnsi="Calibri"/>
          <w:b/>
          <w:bCs/>
          <w:sz w:val="40"/>
          <w:szCs w:val="40"/>
        </w:rPr>
      </w:pPr>
      <w:r w:rsidRPr="00232546">
        <w:rPr>
          <w:rFonts w:ascii="Calibri" w:hAnsi="Calibri"/>
          <w:b/>
          <w:bCs/>
          <w:sz w:val="40"/>
          <w:szCs w:val="40"/>
        </w:rPr>
        <w:t>7755-77628621/0710</w:t>
      </w:r>
    </w:p>
    <w:p w:rsidR="00356ACC" w:rsidRPr="00232546" w:rsidRDefault="00356ACC" w:rsidP="00356ACC">
      <w:pPr>
        <w:jc w:val="center"/>
        <w:rPr>
          <w:rFonts w:ascii="Calibri" w:hAnsi="Calibri"/>
          <w:sz w:val="24"/>
          <w:szCs w:val="24"/>
        </w:rPr>
      </w:pPr>
    </w:p>
    <w:p w:rsidR="00356ACC" w:rsidRPr="00232546" w:rsidRDefault="00356ACC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 xml:space="preserve">Kompletní informační servis k placení daní je k nalezení na internetových stránkách </w:t>
      </w:r>
      <w:hyperlink r:id="rId9" w:history="1">
        <w:r w:rsidRPr="00232546">
          <w:rPr>
            <w:rStyle w:val="Hypertextovodkaz"/>
            <w:rFonts w:ascii="Calibri" w:hAnsi="Calibri"/>
            <w:b/>
            <w:bCs/>
          </w:rPr>
          <w:t>www.financnisprava.cz</w:t>
        </w:r>
      </w:hyperlink>
      <w:r w:rsidRPr="00232546">
        <w:rPr>
          <w:rFonts w:ascii="Calibri" w:hAnsi="Calibri"/>
        </w:rPr>
        <w:t>, a to v části „</w:t>
      </w:r>
      <w:hyperlink r:id="rId10" w:history="1">
        <w:r w:rsidRPr="00232546">
          <w:rPr>
            <w:rStyle w:val="Hypertextovodkaz"/>
            <w:rFonts w:ascii="Calibri" w:hAnsi="Calibri"/>
            <w:b/>
            <w:bCs/>
          </w:rPr>
          <w:t>Placení daní</w:t>
        </w:r>
      </w:hyperlink>
      <w:r w:rsidRPr="00232546">
        <w:rPr>
          <w:rFonts w:ascii="Calibri" w:hAnsi="Calibri"/>
        </w:rPr>
        <w:t>“.</w:t>
      </w:r>
    </w:p>
    <w:p w:rsidR="00685628" w:rsidRPr="00232546" w:rsidRDefault="00685628" w:rsidP="00356ACC">
      <w:pPr>
        <w:jc w:val="both"/>
        <w:rPr>
          <w:rFonts w:ascii="Calibri" w:hAnsi="Calibri"/>
          <w:sz w:val="2"/>
        </w:rPr>
      </w:pPr>
    </w:p>
    <w:p w:rsidR="00C8760A" w:rsidRPr="00232546" w:rsidRDefault="00C8760A" w:rsidP="00C8760A">
      <w:pPr>
        <w:pStyle w:val="Normlnweb"/>
        <w:jc w:val="center"/>
        <w:rPr>
          <w:rFonts w:ascii="Calibri" w:hAnsi="Calibri"/>
        </w:rPr>
      </w:pPr>
      <w:r w:rsidRPr="00232546">
        <w:rPr>
          <w:noProof/>
        </w:rPr>
        <w:drawing>
          <wp:inline distT="0" distB="0" distL="0" distR="0" wp14:anchorId="3B292B5A" wp14:editId="3570EDE5">
            <wp:extent cx="1411794" cy="1411794"/>
            <wp:effectExtent l="0" t="0" r="0" b="0"/>
            <wp:docPr id="1" name="Obrázek 1" descr="http://chart.apis.google.com/chart?cht=qr&amp;chs=250x250&amp;chl=http%3A%2F%2Fwww.financnisprava.cz%2Fcs%2Fdane-a-pojistne%2Fdane%2Fdan-z-nemovitych-veci&amp;choe=undefined&amp;chld=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rt.apis.google.com/chart?cht=qr&amp;chs=250x250&amp;chl=http%3A%2F%2Fwww.financnisprava.cz%2Fcs%2Fdane-a-pojistne%2Fdane%2Fdan-z-nemovitych-veci&amp;choe=undefined&amp;chld=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70" cy="14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CC" w:rsidRPr="00232546" w:rsidRDefault="008B63EF" w:rsidP="00356ACC">
      <w:pPr>
        <w:pStyle w:val="Normlnweb"/>
        <w:rPr>
          <w:rFonts w:ascii="Calibri" w:hAnsi="Calibri"/>
        </w:rPr>
      </w:pPr>
      <w:r w:rsidRPr="00232546">
        <w:rPr>
          <w:rFonts w:ascii="Calibri" w:hAnsi="Calibri"/>
        </w:rPr>
        <w:t>24</w:t>
      </w:r>
      <w:r w:rsidR="000D664B" w:rsidRPr="00232546">
        <w:rPr>
          <w:rFonts w:ascii="Calibri" w:hAnsi="Calibri"/>
        </w:rPr>
        <w:t>. 4. 2017</w:t>
      </w:r>
    </w:p>
    <w:p w:rsidR="00F35B73" w:rsidRPr="00232546" w:rsidRDefault="00F35B73" w:rsidP="00F35B73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F35B73" w:rsidRPr="00232546" w:rsidRDefault="00F35B73" w:rsidP="00F35B73">
      <w:pPr>
        <w:pStyle w:val="Normlnweb"/>
        <w:spacing w:before="0" w:beforeAutospacing="0" w:after="0" w:afterAutospacing="0"/>
        <w:rPr>
          <w:rFonts w:ascii="Calibri" w:hAnsi="Calibri"/>
        </w:rPr>
      </w:pPr>
      <w:r w:rsidRPr="00232546">
        <w:rPr>
          <w:rFonts w:ascii="Calibri" w:hAnsi="Calibri"/>
        </w:rPr>
        <w:t>JUDr. David Stančík</w:t>
      </w:r>
      <w:r w:rsidRPr="00232546">
        <w:rPr>
          <w:rFonts w:ascii="Calibri" w:hAnsi="Calibri"/>
        </w:rPr>
        <w:br/>
        <w:t>tiskový mluvčí Finančního úřadu pro Jihomoravský kraj</w:t>
      </w:r>
    </w:p>
    <w:p w:rsidR="00F35B73" w:rsidRPr="00232546" w:rsidRDefault="00F35B73" w:rsidP="00F35B73">
      <w:pPr>
        <w:pStyle w:val="Normlnweb"/>
        <w:spacing w:before="0" w:beforeAutospacing="0" w:after="0" w:afterAutospacing="0"/>
        <w:rPr>
          <w:rFonts w:ascii="Calibri" w:hAnsi="Calibri"/>
        </w:rPr>
      </w:pPr>
      <w:r w:rsidRPr="00232546">
        <w:rPr>
          <w:rFonts w:ascii="Calibri" w:hAnsi="Calibri"/>
        </w:rPr>
        <w:t>nám. Svobody 4, 602 00  Brno</w:t>
      </w:r>
    </w:p>
    <w:p w:rsidR="00F35B73" w:rsidRDefault="00F35B73" w:rsidP="00C85DA8">
      <w:pPr>
        <w:pStyle w:val="Normlnweb"/>
        <w:spacing w:before="0" w:beforeAutospacing="0" w:after="0" w:afterAutospacing="0"/>
        <w:rPr>
          <w:rFonts w:ascii="Calibri" w:hAnsi="Calibri"/>
        </w:rPr>
      </w:pPr>
      <w:r w:rsidRPr="00232546">
        <w:rPr>
          <w:rFonts w:ascii="Calibri" w:hAnsi="Calibri"/>
        </w:rPr>
        <w:t xml:space="preserve">e-mail: </w:t>
      </w:r>
      <w:hyperlink r:id="rId12" w:history="1">
        <w:r w:rsidRPr="00C85DA8">
          <w:rPr>
            <w:rFonts w:ascii="Calibri" w:hAnsi="Calibri"/>
          </w:rPr>
          <w:t>david.stancik@fs.mfcr.cz</w:t>
        </w:r>
      </w:hyperlink>
    </w:p>
    <w:sectPr w:rsidR="00F35B73" w:rsidSect="00923D62">
      <w:headerReference w:type="default" r:id="rId13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FB" w:rsidRDefault="00A838FB" w:rsidP="00A44ED9">
      <w:pPr>
        <w:spacing w:after="0" w:line="240" w:lineRule="auto"/>
      </w:pPr>
      <w:r>
        <w:separator/>
      </w:r>
    </w:p>
  </w:endnote>
  <w:endnote w:type="continuationSeparator" w:id="0">
    <w:p w:rsidR="00A838FB" w:rsidRDefault="00A838FB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FB" w:rsidRDefault="00A838FB" w:rsidP="00A44ED9">
      <w:pPr>
        <w:spacing w:after="0" w:line="240" w:lineRule="auto"/>
      </w:pPr>
      <w:r>
        <w:separator/>
      </w:r>
    </w:p>
  </w:footnote>
  <w:footnote w:type="continuationSeparator" w:id="0">
    <w:p w:rsidR="00A838FB" w:rsidRDefault="00A838FB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F138642" wp14:editId="5B127E2C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36556"/>
    <w:rsid w:val="00041D49"/>
    <w:rsid w:val="0007392F"/>
    <w:rsid w:val="00095605"/>
    <w:rsid w:val="000A3A20"/>
    <w:rsid w:val="000C2E57"/>
    <w:rsid w:val="000C6921"/>
    <w:rsid w:val="000D664B"/>
    <w:rsid w:val="00124940"/>
    <w:rsid w:val="00127ADC"/>
    <w:rsid w:val="00127F36"/>
    <w:rsid w:val="00137D37"/>
    <w:rsid w:val="00167CB6"/>
    <w:rsid w:val="00173981"/>
    <w:rsid w:val="00177455"/>
    <w:rsid w:val="00197FA0"/>
    <w:rsid w:val="001C3C8C"/>
    <w:rsid w:val="001D615A"/>
    <w:rsid w:val="001F3232"/>
    <w:rsid w:val="002015D2"/>
    <w:rsid w:val="00206399"/>
    <w:rsid w:val="00221773"/>
    <w:rsid w:val="00222B9F"/>
    <w:rsid w:val="002279E1"/>
    <w:rsid w:val="00232546"/>
    <w:rsid w:val="00234775"/>
    <w:rsid w:val="0023481C"/>
    <w:rsid w:val="00236496"/>
    <w:rsid w:val="002709DE"/>
    <w:rsid w:val="00283086"/>
    <w:rsid w:val="00296AEE"/>
    <w:rsid w:val="00297FCE"/>
    <w:rsid w:val="002B643F"/>
    <w:rsid w:val="002E3898"/>
    <w:rsid w:val="002E6C2B"/>
    <w:rsid w:val="002F15A0"/>
    <w:rsid w:val="003102F4"/>
    <w:rsid w:val="00316B2E"/>
    <w:rsid w:val="00317706"/>
    <w:rsid w:val="00356ACC"/>
    <w:rsid w:val="00371F14"/>
    <w:rsid w:val="003738E2"/>
    <w:rsid w:val="003964F7"/>
    <w:rsid w:val="003A3CA9"/>
    <w:rsid w:val="003C1ED9"/>
    <w:rsid w:val="00401E27"/>
    <w:rsid w:val="00420A57"/>
    <w:rsid w:val="004324F8"/>
    <w:rsid w:val="0047347D"/>
    <w:rsid w:val="00477A5E"/>
    <w:rsid w:val="00496750"/>
    <w:rsid w:val="004B6BA4"/>
    <w:rsid w:val="004C3000"/>
    <w:rsid w:val="004D3786"/>
    <w:rsid w:val="004E5FDB"/>
    <w:rsid w:val="005117FD"/>
    <w:rsid w:val="0054766B"/>
    <w:rsid w:val="00591181"/>
    <w:rsid w:val="005E780A"/>
    <w:rsid w:val="005F1F28"/>
    <w:rsid w:val="00604C08"/>
    <w:rsid w:val="006108D5"/>
    <w:rsid w:val="00621EF4"/>
    <w:rsid w:val="00660596"/>
    <w:rsid w:val="00661F87"/>
    <w:rsid w:val="00680314"/>
    <w:rsid w:val="00685628"/>
    <w:rsid w:val="006A4D57"/>
    <w:rsid w:val="006B6FB8"/>
    <w:rsid w:val="006E5CDC"/>
    <w:rsid w:val="006F798C"/>
    <w:rsid w:val="007055CD"/>
    <w:rsid w:val="00705C25"/>
    <w:rsid w:val="00721BDF"/>
    <w:rsid w:val="00743D76"/>
    <w:rsid w:val="00755E89"/>
    <w:rsid w:val="007570C8"/>
    <w:rsid w:val="00764B7F"/>
    <w:rsid w:val="00773ECF"/>
    <w:rsid w:val="007A1E1A"/>
    <w:rsid w:val="007A6C74"/>
    <w:rsid w:val="007A73F1"/>
    <w:rsid w:val="007B4B64"/>
    <w:rsid w:val="007E004A"/>
    <w:rsid w:val="00827A76"/>
    <w:rsid w:val="008458C4"/>
    <w:rsid w:val="00847019"/>
    <w:rsid w:val="00850F63"/>
    <w:rsid w:val="00857471"/>
    <w:rsid w:val="00871F66"/>
    <w:rsid w:val="008B5078"/>
    <w:rsid w:val="008B63EF"/>
    <w:rsid w:val="00923D62"/>
    <w:rsid w:val="00925DD5"/>
    <w:rsid w:val="009538B0"/>
    <w:rsid w:val="00975DE3"/>
    <w:rsid w:val="00981066"/>
    <w:rsid w:val="00984027"/>
    <w:rsid w:val="00992998"/>
    <w:rsid w:val="00993A21"/>
    <w:rsid w:val="009E13DF"/>
    <w:rsid w:val="009F592C"/>
    <w:rsid w:val="00A23633"/>
    <w:rsid w:val="00A243A6"/>
    <w:rsid w:val="00A44998"/>
    <w:rsid w:val="00A44ED9"/>
    <w:rsid w:val="00A50C45"/>
    <w:rsid w:val="00A531B7"/>
    <w:rsid w:val="00A61E5F"/>
    <w:rsid w:val="00A838FB"/>
    <w:rsid w:val="00AA4F6A"/>
    <w:rsid w:val="00AB6599"/>
    <w:rsid w:val="00B31FC9"/>
    <w:rsid w:val="00B37DFC"/>
    <w:rsid w:val="00B51844"/>
    <w:rsid w:val="00B5597B"/>
    <w:rsid w:val="00B565D1"/>
    <w:rsid w:val="00B8095D"/>
    <w:rsid w:val="00B8406A"/>
    <w:rsid w:val="00BA3030"/>
    <w:rsid w:val="00BB3E46"/>
    <w:rsid w:val="00BC2F1A"/>
    <w:rsid w:val="00C31F31"/>
    <w:rsid w:val="00C37885"/>
    <w:rsid w:val="00C674C5"/>
    <w:rsid w:val="00C852A7"/>
    <w:rsid w:val="00C85DA8"/>
    <w:rsid w:val="00C8760A"/>
    <w:rsid w:val="00CD1AC2"/>
    <w:rsid w:val="00CD4784"/>
    <w:rsid w:val="00CD5A24"/>
    <w:rsid w:val="00CE2E85"/>
    <w:rsid w:val="00D00D77"/>
    <w:rsid w:val="00D30B17"/>
    <w:rsid w:val="00D36C29"/>
    <w:rsid w:val="00D37861"/>
    <w:rsid w:val="00D540FC"/>
    <w:rsid w:val="00D949D9"/>
    <w:rsid w:val="00DA1B1D"/>
    <w:rsid w:val="00DA2F4F"/>
    <w:rsid w:val="00DB5C12"/>
    <w:rsid w:val="00DB6709"/>
    <w:rsid w:val="00DB6E06"/>
    <w:rsid w:val="00DE375F"/>
    <w:rsid w:val="00E07384"/>
    <w:rsid w:val="00E64169"/>
    <w:rsid w:val="00E67E40"/>
    <w:rsid w:val="00E779A9"/>
    <w:rsid w:val="00EA16F0"/>
    <w:rsid w:val="00EB3F87"/>
    <w:rsid w:val="00EE378F"/>
    <w:rsid w:val="00EF387F"/>
    <w:rsid w:val="00F35B73"/>
    <w:rsid w:val="00F42E24"/>
    <w:rsid w:val="00F56090"/>
    <w:rsid w:val="00F87E26"/>
    <w:rsid w:val="00F97A45"/>
    <w:rsid w:val="00FA456E"/>
    <w:rsid w:val="00FA696B"/>
    <w:rsid w:val="00FB131C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75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75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vid.stancik@fs.mf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ancnisprava.cz/cs/dane-a-pojistne/placeni-da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nancnisprava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71F4-5BC9-41DA-AF1D-DB95A75F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spravce</cp:lastModifiedBy>
  <cp:revision>2</cp:revision>
  <cp:lastPrinted>2015-04-27T13:06:00Z</cp:lastPrinted>
  <dcterms:created xsi:type="dcterms:W3CDTF">2017-04-24T06:52:00Z</dcterms:created>
  <dcterms:modified xsi:type="dcterms:W3CDTF">2017-04-24T06:52:00Z</dcterms:modified>
</cp:coreProperties>
</file>